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D36E" w14:textId="65027F8A" w:rsidR="004B28A0" w:rsidRDefault="00995845" w:rsidP="00995845">
      <w:pPr>
        <w:jc w:val="center"/>
        <w:rPr>
          <w:sz w:val="36"/>
          <w:u w:val="single"/>
        </w:rPr>
      </w:pPr>
      <w:bookmarkStart w:id="0" w:name="_GoBack"/>
      <w:bookmarkEnd w:id="0"/>
      <w:r w:rsidRPr="00995845">
        <w:rPr>
          <w:sz w:val="36"/>
          <w:u w:val="single"/>
        </w:rPr>
        <w:t>Potenzialtopf</w:t>
      </w:r>
    </w:p>
    <w:p w14:paraId="09410D5D" w14:textId="77777777" w:rsidR="00995845" w:rsidRDefault="00995845" w:rsidP="00995845">
      <w:pPr>
        <w:jc w:val="center"/>
        <w:rPr>
          <w:sz w:val="36"/>
          <w:u w:val="single"/>
        </w:rPr>
      </w:pPr>
    </w:p>
    <w:p w14:paraId="1FAA5991" w14:textId="77777777" w:rsidR="00995845" w:rsidRDefault="00995845" w:rsidP="00995845">
      <w:r>
        <w:t>3.1</w:t>
      </w:r>
      <w:r>
        <w:tab/>
        <w:t xml:space="preserve">Das Phänomen das hierbei auftritt wird </w:t>
      </w:r>
      <w:r w:rsidRPr="009C7CA2">
        <w:rPr>
          <w:b/>
        </w:rPr>
        <w:t>Fluoreszenz</w:t>
      </w:r>
      <w:r>
        <w:t xml:space="preserve"> genannt. Die von der Quecksilberdampflampe ausgehenden Photonen, welche hochenergetisch sind und außerhalb des sichtbaren Lichtspektrums liegen, regen Elektronen in der </w:t>
      </w:r>
      <w:proofErr w:type="spellStart"/>
      <w:r>
        <w:t>Zinksulfidschicht</w:t>
      </w:r>
      <w:proofErr w:type="spellEnd"/>
      <w:r>
        <w:t xml:space="preserve"> an. Diese springen dadurch auf ein höheres Energieniveau.  Wenn diese spo</w:t>
      </w:r>
      <w:r w:rsidR="00722232">
        <w:t>n</w:t>
      </w:r>
      <w:r>
        <w:t xml:space="preserve">tan zurückfallen, also wenn eine </w:t>
      </w:r>
      <w:r w:rsidRPr="009C7CA2">
        <w:rPr>
          <w:b/>
        </w:rPr>
        <w:t>spontane Emission</w:t>
      </w:r>
      <w:r>
        <w:t xml:space="preserve"> stattfindet, werden wiederum Photonen ausgesendet. Die Energie eines ausgesendeten Photons entspricht den Energiedifferenzen der beteiligten Energieniveaus.</w:t>
      </w:r>
      <w:r w:rsidR="00011182">
        <w:t xml:space="preserve"> Man mu</w:t>
      </w:r>
      <w:r w:rsidR="00722232">
        <w:t xml:space="preserve">ss jedoch beachten, dass wenn </w:t>
      </w:r>
      <w:r w:rsidR="00011182">
        <w:t>e</w:t>
      </w:r>
      <w:r w:rsidR="00722232">
        <w:t>in angeregtes Elektron sofort in seinen</w:t>
      </w:r>
      <w:r w:rsidR="00011182">
        <w:t xml:space="preserve"> </w:t>
      </w:r>
      <w:r w:rsidR="00722232">
        <w:t>Grundzustand zurückfallen würde</w:t>
      </w:r>
      <w:r w:rsidR="00011182">
        <w:t xml:space="preserve"> das </w:t>
      </w:r>
      <w:r w:rsidR="00836608">
        <w:t>emittierte</w:t>
      </w:r>
      <w:r w:rsidR="00011182">
        <w:t xml:space="preserve"> P</w:t>
      </w:r>
      <w:r w:rsidR="00722232">
        <w:t xml:space="preserve">hoton die gleiche Energie hätte </w:t>
      </w:r>
      <w:r w:rsidR="00011182">
        <w:t xml:space="preserve">wie das </w:t>
      </w:r>
      <w:r w:rsidR="00836608">
        <w:t>einfallende</w:t>
      </w:r>
      <w:r w:rsidR="00011182">
        <w:t xml:space="preserve"> Photon und</w:t>
      </w:r>
      <w:r w:rsidR="00722232">
        <w:t xml:space="preserve"> würde</w:t>
      </w:r>
      <w:r w:rsidR="00011182">
        <w:t xml:space="preserve"> damit auch nicht sichtbares Licht ausstrahlen. Man muss also davon ausgehen, dass </w:t>
      </w:r>
      <w:r w:rsidR="00722232">
        <w:t xml:space="preserve">wenn die Spektrallinien sichtbar sind, </w:t>
      </w:r>
      <w:r w:rsidR="00011182">
        <w:t>der Rücksprung stu</w:t>
      </w:r>
      <w:r w:rsidR="00722232">
        <w:t>fenweise erfolgen muss</w:t>
      </w:r>
      <w:r w:rsidR="00011182">
        <w:t xml:space="preserve"> und sich die absorbierte Energie aufteilt und die Photonen der Teilsprünge im sichtbaren Spektrum liegen</w:t>
      </w:r>
      <w:r w:rsidR="001834AB">
        <w:t xml:space="preserve"> können</w:t>
      </w:r>
      <w:r w:rsidR="00011182">
        <w:t>.</w:t>
      </w:r>
      <w:r w:rsidR="00722232">
        <w:t xml:space="preserve"> </w:t>
      </w:r>
    </w:p>
    <w:p w14:paraId="653ACCAA" w14:textId="77777777" w:rsidR="00722232" w:rsidRDefault="00836608" w:rsidP="00836608">
      <w:pPr>
        <w:jc w:val="center"/>
      </w:pPr>
      <w:r>
        <w:rPr>
          <w:noProof/>
          <w:lang w:eastAsia="de-DE"/>
        </w:rPr>
        <w:drawing>
          <wp:inline distT="0" distB="0" distL="0" distR="0" wp14:anchorId="6B07C6B5" wp14:editId="245EEE90">
            <wp:extent cx="4953836" cy="280035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836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A906B" w14:textId="77777777" w:rsidR="00867F64" w:rsidRDefault="00867F64" w:rsidP="00867F64">
      <w:r>
        <w:t>3.2</w:t>
      </w: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3859"/>
      </w:tblGrid>
      <w:tr w:rsidR="00DF4E66" w14:paraId="3250753B" w14:textId="77777777" w:rsidTr="00DF4E66">
        <w:tc>
          <w:tcPr>
            <w:tcW w:w="1809" w:type="dxa"/>
          </w:tcPr>
          <w:p w14:paraId="4513199C" w14:textId="77777777" w:rsidR="00DF4E66" w:rsidRDefault="00DF4E66" w:rsidP="00836608"/>
        </w:tc>
        <w:tc>
          <w:tcPr>
            <w:tcW w:w="3544" w:type="dxa"/>
          </w:tcPr>
          <w:p w14:paraId="08CA4D1E" w14:textId="77777777" w:rsidR="00DF4E66" w:rsidRDefault="00DF4E66" w:rsidP="00836608">
            <w:r>
              <w:t>Photonenanregung</w:t>
            </w:r>
          </w:p>
        </w:tc>
        <w:tc>
          <w:tcPr>
            <w:tcW w:w="3859" w:type="dxa"/>
          </w:tcPr>
          <w:p w14:paraId="53FD2A66" w14:textId="77777777" w:rsidR="00DF4E66" w:rsidRDefault="00DF4E66" w:rsidP="00836608">
            <w:r>
              <w:t>Elektronenanregung</w:t>
            </w:r>
          </w:p>
        </w:tc>
      </w:tr>
      <w:tr w:rsidR="00DF4E66" w14:paraId="38A63719" w14:textId="77777777" w:rsidTr="00DF4E66">
        <w:tc>
          <w:tcPr>
            <w:tcW w:w="1809" w:type="dxa"/>
          </w:tcPr>
          <w:p w14:paraId="53AE1AAB" w14:textId="77777777" w:rsidR="00DF4E66" w:rsidRDefault="00DF4E66" w:rsidP="00836608">
            <w:r>
              <w:t>Abgabe der Energie</w:t>
            </w:r>
          </w:p>
        </w:tc>
        <w:tc>
          <w:tcPr>
            <w:tcW w:w="3544" w:type="dxa"/>
          </w:tcPr>
          <w:p w14:paraId="594201D7" w14:textId="77777777" w:rsidR="00DF4E66" w:rsidRDefault="00DF4E66" w:rsidP="00836608">
            <w:r>
              <w:t xml:space="preserve">Nur diskret (gequantelt) </w:t>
            </w:r>
            <w:r>
              <w:sym w:font="Wingdings" w:char="F0E0"/>
            </w:r>
            <w:r>
              <w:t xml:space="preserve"> wird nur im Ganzen übertragen</w:t>
            </w:r>
          </w:p>
        </w:tc>
        <w:tc>
          <w:tcPr>
            <w:tcW w:w="3859" w:type="dxa"/>
          </w:tcPr>
          <w:p w14:paraId="544D6846" w14:textId="77777777" w:rsidR="00DF4E66" w:rsidRDefault="00DF4E66" w:rsidP="00836608">
            <w:r>
              <w:t>Kinetische Energie kann kontinuierlich abgegeben werden</w:t>
            </w:r>
          </w:p>
        </w:tc>
      </w:tr>
      <w:tr w:rsidR="00DF4E66" w14:paraId="4C13D71A" w14:textId="77777777" w:rsidTr="00DF4E66">
        <w:tc>
          <w:tcPr>
            <w:tcW w:w="1809" w:type="dxa"/>
          </w:tcPr>
          <w:p w14:paraId="5B9C829C" w14:textId="77777777" w:rsidR="00DF4E66" w:rsidRDefault="00DF4E66" w:rsidP="00836608">
            <w:r>
              <w:t>Wann wird Energie abgegeben</w:t>
            </w:r>
          </w:p>
        </w:tc>
        <w:tc>
          <w:tcPr>
            <w:tcW w:w="3544" w:type="dxa"/>
          </w:tcPr>
          <w:p w14:paraId="1E4B9448" w14:textId="77777777" w:rsidR="00DF4E66" w:rsidRDefault="00DF4E66" w:rsidP="00836608">
            <w:proofErr w:type="spellStart"/>
            <w:r>
              <w:t>Photonenergie</w:t>
            </w:r>
            <w:proofErr w:type="spellEnd"/>
            <w:r>
              <w:t xml:space="preserve"> muss genau einer Energiedifferenz in der Atomhülle en</w:t>
            </w:r>
            <w:r w:rsidR="00953F94">
              <w:t>t</w:t>
            </w:r>
            <w:r>
              <w:t xml:space="preserve">sprechen </w:t>
            </w:r>
            <w:r>
              <w:sym w:font="Wingdings" w:char="F0E0"/>
            </w:r>
            <w:r>
              <w:t xml:space="preserve"> sonst passiert nichts</w:t>
            </w:r>
          </w:p>
          <w:p w14:paraId="5484606D" w14:textId="77777777" w:rsidR="00DF4E66" w:rsidRDefault="00DF4E66" w:rsidP="00836608"/>
          <w:p w14:paraId="7574205E" w14:textId="77777777" w:rsidR="00DF4E66" w:rsidRDefault="00DF4E66" w:rsidP="00836608">
            <w:r>
              <w:t>Oder: Energie so hoch das Elektron aus der Bindung des Atoms gelöst wird (Ionisierungsenergie)</w:t>
            </w:r>
          </w:p>
        </w:tc>
        <w:tc>
          <w:tcPr>
            <w:tcW w:w="3859" w:type="dxa"/>
          </w:tcPr>
          <w:p w14:paraId="030AB023" w14:textId="77777777" w:rsidR="00DF4E66" w:rsidRDefault="00DF4E66" w:rsidP="00836608">
            <w:r>
              <w:t xml:space="preserve">Elektronen können eine Restenergie behalten </w:t>
            </w:r>
            <w:r>
              <w:sym w:font="Wingdings" w:char="F0E0"/>
            </w:r>
            <w:r>
              <w:t xml:space="preserve"> Ein Elektron kann in mehreren Schritten mehrere Elektronen anregen.</w:t>
            </w:r>
          </w:p>
        </w:tc>
      </w:tr>
    </w:tbl>
    <w:p w14:paraId="302FD69E" w14:textId="77777777" w:rsidR="00836608" w:rsidRDefault="00DF4E66" w:rsidP="00836608">
      <w:r>
        <w:t xml:space="preserve"> </w:t>
      </w:r>
    </w:p>
    <w:p w14:paraId="36493188" w14:textId="77777777" w:rsidR="009E2768" w:rsidRDefault="00953F94" w:rsidP="00836608">
      <w:pPr>
        <w:rPr>
          <w:rFonts w:eastAsiaTheme="minorEastAsia"/>
        </w:rPr>
      </w:pPr>
      <w:r>
        <w:t xml:space="preserve">Mindestens nötige </w:t>
      </w:r>
      <w:r w:rsidR="00DF4E66">
        <w:t xml:space="preserve">Energie zur Erzeugung eines Photons mit </w:t>
      </w:r>
      <m:oMath>
        <m:r>
          <w:rPr>
            <w:rFonts w:ascii="Cambria Math" w:hAnsi="Cambria Math"/>
          </w:rPr>
          <m:t>λ= 550 nm</m:t>
        </m:r>
      </m:oMath>
    </w:p>
    <w:p w14:paraId="30FE08D9" w14:textId="77777777" w:rsidR="00894495" w:rsidRPr="00894495" w:rsidRDefault="00692F5E" w:rsidP="0083660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Photon</m:t>
              </m:r>
            </m:sub>
          </m:sSub>
          <m:r>
            <w:rPr>
              <w:rFonts w:ascii="Cambria Math" w:hAnsi="Cambria Math"/>
            </w:rPr>
            <m:t>= h∙f=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h∙c</m:t>
              </m:r>
            </m:num>
            <m:den>
              <m:r>
                <w:rPr>
                  <w:rFonts w:ascii="Cambria Math" w:hAnsi="Cambria Math"/>
                </w:rPr>
                <m:t>λ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6,626 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-34</m:t>
                  </m:r>
                </m:sup>
              </m:sSup>
              <m:r>
                <w:rPr>
                  <w:rFonts w:ascii="Cambria Math" w:hAnsi="Cambria Math"/>
                </w:rPr>
                <m:t xml:space="preserve"> Js ∙ 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550∙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-9</m:t>
                  </m:r>
                </m:sup>
              </m:sSup>
              <m:r>
                <w:rPr>
                  <w:rFonts w:ascii="Cambria Math" w:hAnsi="Cambria Math"/>
                </w:rPr>
                <m:t xml:space="preserve"> m</m:t>
              </m:r>
            </m:den>
          </m:f>
          <m:r>
            <w:rPr>
              <w:rFonts w:ascii="Cambria Math" w:hAnsi="Cambria Math"/>
            </w:rPr>
            <m:t>=3,61∙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-19</m:t>
              </m:r>
            </m:sup>
          </m:sSup>
          <m:r>
            <w:rPr>
              <w:rFonts w:ascii="Cambria Math" w:hAnsi="Cambria Math"/>
            </w:rPr>
            <m:t>J=2,26 eV</m:t>
          </m:r>
        </m:oMath>
      </m:oMathPara>
    </w:p>
    <w:p w14:paraId="1CA62987" w14:textId="77777777" w:rsidR="00894495" w:rsidRDefault="00894495" w:rsidP="00836608">
      <w:r>
        <w:lastRenderedPageBreak/>
        <w:t xml:space="preserve">Einheitenrechnung: </w:t>
      </w:r>
    </w:p>
    <w:p w14:paraId="2D93D877" w14:textId="77777777" w:rsidR="00DF4E66" w:rsidRDefault="00DF4E66" w:rsidP="00836608">
      <w:pPr>
        <w:rPr>
          <w:rFonts w:eastAsiaTheme="minorEastAsia"/>
        </w:rPr>
      </w:pPr>
      <w:r>
        <w:t xml:space="preserve"> </w:t>
      </w:r>
      <m:oMath>
        <m:r>
          <w:rPr>
            <w:rFonts w:ascii="Cambria Math" w:hAnsi="Cambria Math"/>
          </w:rPr>
          <m:t>[E]=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Js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J∙s∙m</m:t>
            </m:r>
          </m:num>
          <m:den>
            <m:r>
              <w:rPr>
                <w:rFonts w:ascii="Cambria Math" w:hAnsi="Cambria Math"/>
              </w:rPr>
              <m:t>s∙m</m:t>
            </m:r>
          </m:den>
        </m:f>
        <m:r>
          <w:rPr>
            <w:rFonts w:ascii="Cambria Math" w:hAnsi="Cambria Math"/>
          </w:rPr>
          <m:t>=J</m:t>
        </m:r>
      </m:oMath>
    </w:p>
    <w:p w14:paraId="1BE41E75" w14:textId="77777777" w:rsidR="00953F94" w:rsidRPr="00894495" w:rsidRDefault="00953F94" w:rsidP="00836608">
      <w:pPr>
        <w:rPr>
          <w:rFonts w:eastAsiaTheme="minorEastAsia"/>
        </w:rPr>
      </w:pPr>
      <w:r>
        <w:rPr>
          <w:rFonts w:eastAsiaTheme="minorEastAsia"/>
        </w:rPr>
        <w:t xml:space="preserve">Wegen der stattfinden, großen Anzahl von Stoßprozessen, werden die Elektronen ausgebremst und deren Energie erreicht die Größenordnung der Anregungsenergie. </w:t>
      </w:r>
      <w:r w:rsidR="009210A5">
        <w:rPr>
          <w:rFonts w:eastAsiaTheme="minorEastAsia"/>
        </w:rPr>
        <w:t>Die Elektronen können also, wenn sie genug Energie abgegeben haben</w:t>
      </w:r>
      <w:r w:rsidR="006F6EEB">
        <w:rPr>
          <w:rFonts w:eastAsiaTheme="minorEastAsia"/>
        </w:rPr>
        <w:t>,</w:t>
      </w:r>
      <w:r w:rsidR="009210A5">
        <w:rPr>
          <w:rFonts w:eastAsiaTheme="minorEastAsia"/>
        </w:rPr>
        <w:t xml:space="preserve"> die entsprechenden Energieniveaus anregen und damit eine Emission solcher Photonen auslösen.</w:t>
      </w:r>
    </w:p>
    <w:p w14:paraId="19711E16" w14:textId="77777777" w:rsidR="00894495" w:rsidRDefault="00894495" w:rsidP="00836608">
      <w:pPr>
        <w:rPr>
          <w:rFonts w:eastAsiaTheme="minorEastAsia"/>
        </w:rPr>
      </w:pPr>
      <w:r>
        <w:rPr>
          <w:rFonts w:eastAsiaTheme="minorEastAsia"/>
        </w:rPr>
        <w:t>3.3</w:t>
      </w:r>
    </w:p>
    <w:p w14:paraId="239BF295" w14:textId="77777777" w:rsidR="00894495" w:rsidRDefault="00E11BAD" w:rsidP="00836608">
      <w:pPr>
        <w:rPr>
          <w:rFonts w:eastAsiaTheme="minorEastAsia"/>
        </w:rPr>
      </w:pPr>
      <w:r>
        <w:rPr>
          <w:rFonts w:eastAsiaTheme="minorEastAsia"/>
        </w:rPr>
        <w:t xml:space="preserve">Damit eine Lösung dieses Farbstoffes Photonen der Wellenlänge </w:t>
      </w:r>
      <m:oMath>
        <m:r>
          <w:rPr>
            <w:rFonts w:ascii="Cambria Math" w:hAnsi="Cambria Math"/>
          </w:rPr>
          <m:t>λ= 198,2 nm</m:t>
        </m:r>
      </m:oMath>
      <w:r>
        <w:rPr>
          <w:rFonts w:eastAsiaTheme="minorEastAsia"/>
        </w:rPr>
        <w:t xml:space="preserve"> absorbieren kann, muss eine Differenzenergie zwischen den Energieniveaus mit der Energie des Photons übereinstimmen.</w:t>
      </w:r>
    </w:p>
    <w:p w14:paraId="30B607A3" w14:textId="77777777" w:rsidR="00E11BAD" w:rsidRDefault="00E11BAD" w:rsidP="00836608">
      <w:pPr>
        <w:rPr>
          <w:rFonts w:eastAsiaTheme="minorEastAsia"/>
        </w:rPr>
      </w:pPr>
      <w:r>
        <w:rPr>
          <w:rFonts w:eastAsiaTheme="minorEastAsia"/>
        </w:rPr>
        <w:t>Die Übergänge die</w:t>
      </w:r>
      <w:r w:rsidR="006F6EEB">
        <w:rPr>
          <w:rFonts w:eastAsiaTheme="minorEastAsia"/>
        </w:rPr>
        <w:t xml:space="preserve"> zu einer Absorption infrage kä</w:t>
      </w:r>
      <w:r>
        <w:rPr>
          <w:rFonts w:eastAsiaTheme="minorEastAsia"/>
        </w:rPr>
        <w:t xml:space="preserve">men sind die von 3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4 und von 3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5</w:t>
      </w:r>
    </w:p>
    <w:p w14:paraId="524FB2F5" w14:textId="77777777" w:rsidR="00E11BAD" w:rsidRDefault="00E11BAD" w:rsidP="00836608">
      <w:pPr>
        <w:rPr>
          <w:rFonts w:eastAsiaTheme="minorEastAsia"/>
        </w:rPr>
      </w:pPr>
      <w:r>
        <w:rPr>
          <w:rFonts w:eastAsiaTheme="minorEastAsia"/>
        </w:rPr>
        <w:t>Die Energiedifferenzen lassen sich aus Abbildung 4 erschließen.</w:t>
      </w:r>
    </w:p>
    <w:p w14:paraId="56914A6D" w14:textId="77777777" w:rsidR="00E11BAD" w:rsidRPr="00E11BAD" w:rsidRDefault="00E11BAD" w:rsidP="0083660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34</m:t>
              </m:r>
            </m:sub>
          </m:sSub>
          <m:r>
            <w:rPr>
              <w:rFonts w:ascii="Cambria Math" w:eastAsiaTheme="minorEastAsia" w:hAnsi="Cambria Math"/>
            </w:rPr>
            <m:t>=2,74 eV           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35</m:t>
              </m:r>
            </m:sub>
          </m:sSub>
          <m:r>
            <w:rPr>
              <w:rFonts w:ascii="Cambria Math" w:eastAsiaTheme="minorEastAsia" w:hAnsi="Cambria Math"/>
            </w:rPr>
            <m:t>=∆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34</m:t>
              </m:r>
            </m:sub>
          </m:sSub>
          <m:r>
            <w:rPr>
              <w:rFonts w:ascii="Cambria Math" w:eastAsiaTheme="minorEastAsia" w:hAnsi="Cambria Math"/>
            </w:rPr>
            <m:t>+∆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45</m:t>
              </m:r>
            </m:sub>
          </m:sSub>
          <m:r>
            <w:rPr>
              <w:rFonts w:ascii="Cambria Math" w:eastAsiaTheme="minorEastAsia" w:hAnsi="Cambria Math"/>
            </w:rPr>
            <m:t>=6,26 eV</m:t>
          </m:r>
        </m:oMath>
      </m:oMathPara>
    </w:p>
    <w:p w14:paraId="1EE1273E" w14:textId="77777777" w:rsidR="00E11BAD" w:rsidRDefault="00E11BAD" w:rsidP="00836608">
      <w:pPr>
        <w:rPr>
          <w:rFonts w:eastAsiaTheme="minorEastAsia"/>
        </w:rPr>
      </w:pPr>
      <w:r>
        <w:rPr>
          <w:rFonts w:eastAsiaTheme="minorEastAsia"/>
        </w:rPr>
        <w:t>Die Wellenlänge der durch spontane Emission emittierten Photonen lässt sich durch die bereits in Aufgabe 2.2 angewendete Formel berechnen.</w:t>
      </w:r>
    </w:p>
    <w:p w14:paraId="3EAB41BA" w14:textId="77777777" w:rsidR="00E11BAD" w:rsidRDefault="00692F5E" w:rsidP="0083660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34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h∙c</m:t>
              </m:r>
            </m:num>
            <m:den>
              <m:r>
                <w:rPr>
                  <w:rFonts w:ascii="Cambria Math" w:eastAsiaTheme="minorEastAsia" w:hAnsi="Cambria Math"/>
                </w:rPr>
                <m:t>2,74∙1,6∙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-19</m:t>
                  </m:r>
                </m:sup>
              </m:sSup>
              <m:r>
                <w:rPr>
                  <w:rFonts w:ascii="Cambria Math" w:eastAsiaTheme="minorEastAsia" w:hAnsi="Cambria Math"/>
                </w:rPr>
                <m:t>J</m:t>
              </m:r>
            </m:den>
          </m:f>
          <m:r>
            <w:rPr>
              <w:rFonts w:ascii="Cambria Math" w:eastAsiaTheme="minorEastAsia" w:hAnsi="Cambria Math"/>
            </w:rPr>
            <m:t>≈453 nm</m:t>
          </m:r>
        </m:oMath>
      </m:oMathPara>
    </w:p>
    <w:p w14:paraId="4B054BFE" w14:textId="77777777" w:rsidR="00810A1A" w:rsidRPr="00E11BAD" w:rsidRDefault="00692F5E" w:rsidP="00810A1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35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h∙c</m:t>
              </m:r>
            </m:num>
            <m:den>
              <m:r>
                <w:rPr>
                  <w:rFonts w:ascii="Cambria Math" w:eastAsiaTheme="minorEastAsia" w:hAnsi="Cambria Math"/>
                </w:rPr>
                <m:t>6,26∙1,6∙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-19</m:t>
                  </m:r>
                </m:sup>
              </m:sSup>
              <m:r>
                <w:rPr>
                  <w:rFonts w:ascii="Cambria Math" w:eastAsiaTheme="minorEastAsia" w:hAnsi="Cambria Math"/>
                </w:rPr>
                <m:t>J</m:t>
              </m:r>
            </m:den>
          </m:f>
          <m:r>
            <w:rPr>
              <w:rFonts w:ascii="Cambria Math" w:eastAsiaTheme="minorEastAsia" w:hAnsi="Cambria Math"/>
            </w:rPr>
            <m:t>≈198 nm</m:t>
          </m:r>
        </m:oMath>
      </m:oMathPara>
    </w:p>
    <w:p w14:paraId="25413DCB" w14:textId="77777777" w:rsidR="00810A1A" w:rsidRDefault="00810A1A" w:rsidP="00836608">
      <w:pPr>
        <w:rPr>
          <w:rFonts w:eastAsiaTheme="minorEastAsia"/>
        </w:rPr>
      </w:pPr>
      <w:r>
        <w:rPr>
          <w:rFonts w:eastAsiaTheme="minorEastAsia"/>
        </w:rPr>
        <w:t xml:space="preserve">Daraus lässt sich schließen, dass Photonen der angegebenen Wellenlänge das Atomanregen können und den Übergang von 3 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 xml:space="preserve"> 5 auslösen.</w:t>
      </w:r>
    </w:p>
    <w:p w14:paraId="52EC6B83" w14:textId="77777777" w:rsidR="006F6EEB" w:rsidRDefault="00810A1A" w:rsidP="00836608">
      <w:pPr>
        <w:rPr>
          <w:rFonts w:eastAsiaTheme="minorEastAsia"/>
        </w:rPr>
      </w:pPr>
      <w:r>
        <w:rPr>
          <w:rFonts w:eastAsiaTheme="minorEastAsia"/>
        </w:rPr>
        <w:t xml:space="preserve">Fluoreszenz ist durch </w:t>
      </w:r>
      <w:r w:rsidR="006F6EEB">
        <w:rPr>
          <w:rFonts w:eastAsiaTheme="minorEastAsia"/>
        </w:rPr>
        <w:t>die Übergä</w:t>
      </w:r>
      <w:r>
        <w:rPr>
          <w:rFonts w:eastAsiaTheme="minorEastAsia"/>
        </w:rPr>
        <w:t>ng</w:t>
      </w:r>
      <w:r w:rsidR="006F6EEB">
        <w:rPr>
          <w:rFonts w:eastAsiaTheme="minorEastAsia"/>
        </w:rPr>
        <w:t>e 5</w:t>
      </w:r>
      <w:r w:rsidR="006F6EEB" w:rsidRPr="006F6EEB">
        <w:rPr>
          <w:rFonts w:eastAsiaTheme="minorEastAsia" w:hint="eastAsia"/>
        </w:rPr>
        <w:t>→</w:t>
      </w:r>
      <w:r w:rsidR="006F6EEB">
        <w:rPr>
          <w:rFonts w:eastAsiaTheme="minorEastAsia"/>
        </w:rPr>
        <w:t>3, 4</w:t>
      </w:r>
      <w:r w:rsidR="006F6EEB" w:rsidRPr="006F6EEB">
        <w:rPr>
          <w:rFonts w:eastAsiaTheme="minorEastAsia" w:hint="eastAsia"/>
        </w:rPr>
        <w:t>→</w:t>
      </w:r>
      <w:r>
        <w:rPr>
          <w:rFonts w:eastAsiaTheme="minorEastAsia"/>
        </w:rPr>
        <w:t xml:space="preserve">3 </w:t>
      </w:r>
      <w:r w:rsidR="006F6EEB">
        <w:rPr>
          <w:rFonts w:eastAsiaTheme="minorEastAsia"/>
        </w:rPr>
        <w:t>und 5</w:t>
      </w:r>
      <w:r w:rsidR="006F6EEB" w:rsidRPr="006F6EEB">
        <w:rPr>
          <w:rFonts w:eastAsiaTheme="minorEastAsia" w:hint="eastAsia"/>
        </w:rPr>
        <w:t>→</w:t>
      </w:r>
      <w:r w:rsidR="006F6EEB">
        <w:rPr>
          <w:rFonts w:eastAsiaTheme="minorEastAsia"/>
        </w:rPr>
        <w:t xml:space="preserve">4 </w:t>
      </w:r>
      <w:r>
        <w:rPr>
          <w:rFonts w:eastAsiaTheme="minorEastAsia"/>
        </w:rPr>
        <w:t>möglich.</w:t>
      </w:r>
      <w:r w:rsidR="006F6EEB">
        <w:rPr>
          <w:rFonts w:eastAsiaTheme="minorEastAsia"/>
        </w:rPr>
        <w:t xml:space="preserve"> Diese Übergänge entsprechen den Wellenlängen </w:t>
      </w:r>
      <w:r w:rsidR="006F6EEB" w:rsidRPr="006F6EEB">
        <w:rPr>
          <w:rFonts w:ascii="Symbol" w:eastAsiaTheme="minorEastAsia" w:hAnsi="Symbol"/>
        </w:rPr>
        <w:t></w:t>
      </w:r>
      <w:r w:rsidR="006F6EEB" w:rsidRPr="006F6EEB">
        <w:rPr>
          <w:rFonts w:eastAsiaTheme="minorEastAsia"/>
          <w:vertAlign w:val="subscript"/>
        </w:rPr>
        <w:t>35</w:t>
      </w:r>
      <w:r w:rsidR="006F6EEB">
        <w:rPr>
          <w:rFonts w:eastAsiaTheme="minorEastAsia"/>
        </w:rPr>
        <w:t xml:space="preserve"> = 198 </w:t>
      </w:r>
      <w:proofErr w:type="spellStart"/>
      <w:r w:rsidR="006F6EEB">
        <w:rPr>
          <w:rFonts w:eastAsiaTheme="minorEastAsia"/>
        </w:rPr>
        <w:t>nm</w:t>
      </w:r>
      <w:proofErr w:type="spellEnd"/>
      <w:r w:rsidR="006F6EEB">
        <w:rPr>
          <w:rFonts w:eastAsiaTheme="minorEastAsia"/>
        </w:rPr>
        <w:t xml:space="preserve"> (Resonanzfluoreszenz), </w:t>
      </w:r>
      <w:r w:rsidR="006F6EEB" w:rsidRPr="006F6EEB">
        <w:rPr>
          <w:rFonts w:ascii="Symbol" w:eastAsiaTheme="minorEastAsia" w:hAnsi="Symbol"/>
        </w:rPr>
        <w:t></w:t>
      </w:r>
      <w:r w:rsidR="006F6EEB">
        <w:rPr>
          <w:rFonts w:eastAsiaTheme="minorEastAsia"/>
          <w:vertAlign w:val="subscript"/>
        </w:rPr>
        <w:t>43</w:t>
      </w:r>
      <w:r w:rsidR="006F6EEB">
        <w:rPr>
          <w:rFonts w:eastAsiaTheme="minorEastAsia"/>
        </w:rPr>
        <w:t xml:space="preserve"> = 453 </w:t>
      </w:r>
      <w:proofErr w:type="spellStart"/>
      <w:r w:rsidR="006F6EEB">
        <w:rPr>
          <w:rFonts w:eastAsiaTheme="minorEastAsia"/>
        </w:rPr>
        <w:t>nm</w:t>
      </w:r>
      <w:proofErr w:type="spellEnd"/>
      <w:r w:rsidR="006F6EEB">
        <w:rPr>
          <w:rFonts w:eastAsiaTheme="minorEastAsia"/>
        </w:rPr>
        <w:t xml:space="preserve"> und </w:t>
      </w:r>
      <w:r w:rsidR="006F6EEB" w:rsidRPr="006F6EEB">
        <w:rPr>
          <w:rFonts w:ascii="Symbol" w:eastAsiaTheme="minorEastAsia" w:hAnsi="Symbol"/>
        </w:rPr>
        <w:t></w:t>
      </w:r>
      <w:r w:rsidR="006F6EEB">
        <w:rPr>
          <w:rFonts w:eastAsiaTheme="minorEastAsia"/>
          <w:vertAlign w:val="subscript"/>
        </w:rPr>
        <w:t>54</w:t>
      </w:r>
      <w:r w:rsidR="006F6EEB">
        <w:rPr>
          <w:rFonts w:eastAsiaTheme="minorEastAsia"/>
        </w:rPr>
        <w:t xml:space="preserve"> = 353 </w:t>
      </w:r>
      <w:proofErr w:type="spellStart"/>
      <w:r w:rsidR="006F6EEB">
        <w:rPr>
          <w:rFonts w:eastAsiaTheme="minorEastAsia"/>
        </w:rPr>
        <w:t>nm</w:t>
      </w:r>
      <w:proofErr w:type="spellEnd"/>
    </w:p>
    <w:p w14:paraId="52E56777" w14:textId="77777777" w:rsidR="006F6EEB" w:rsidRDefault="006F6EEB" w:rsidP="00836608">
      <w:pPr>
        <w:rPr>
          <w:rFonts w:eastAsiaTheme="minorEastAsia"/>
        </w:rPr>
      </w:pPr>
    </w:p>
    <w:p w14:paraId="45BF2921" w14:textId="77777777" w:rsidR="00810A1A" w:rsidRDefault="00810A1A" w:rsidP="00836608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45</m:t>
            </m:r>
          </m:sub>
        </m:sSub>
        <m:r>
          <w:rPr>
            <w:rFonts w:ascii="Cambria Math" w:eastAsiaTheme="minorEastAsia" w:hAnsi="Cambria Math"/>
          </w:rPr>
          <m:t xml:space="preserve">=3,52 eV           </m:t>
        </m:r>
      </m:oMath>
    </w:p>
    <w:p w14:paraId="5199BC37" w14:textId="77777777" w:rsidR="005854EE" w:rsidRDefault="00692F5E" w:rsidP="005854E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λ</m:t>
              </m:r>
            </m:e>
            <m:sub>
              <m:r>
                <w:rPr>
                  <w:rFonts w:ascii="Cambria Math" w:eastAsiaTheme="minorEastAsia" w:hAnsi="Cambria Math"/>
                </w:rPr>
                <m:t>45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h∙c</m:t>
              </m:r>
            </m:num>
            <m:den>
              <m:r>
                <w:rPr>
                  <w:rFonts w:ascii="Cambria Math" w:eastAsiaTheme="minorEastAsia" w:hAnsi="Cambria Math"/>
                </w:rPr>
                <m:t>3,52∙1,6∙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-19</m:t>
                  </m:r>
                </m:sup>
              </m:sSup>
              <m:r>
                <w:rPr>
                  <w:rFonts w:ascii="Cambria Math" w:eastAsiaTheme="minorEastAsia" w:hAnsi="Cambria Math"/>
                </w:rPr>
                <m:t>J</m:t>
              </m:r>
            </m:den>
          </m:f>
          <m:r>
            <w:rPr>
              <w:rFonts w:ascii="Cambria Math" w:eastAsiaTheme="minorEastAsia" w:hAnsi="Cambria Math"/>
            </w:rPr>
            <m:t>≈353 nm</m:t>
          </m:r>
        </m:oMath>
      </m:oMathPara>
    </w:p>
    <w:p w14:paraId="11D67308" w14:textId="77777777" w:rsidR="005854EE" w:rsidRPr="00E11BAD" w:rsidRDefault="005854EE" w:rsidP="00836608">
      <w:pPr>
        <w:rPr>
          <w:rFonts w:eastAsiaTheme="minorEastAsia"/>
        </w:rPr>
      </w:pPr>
    </w:p>
    <w:sectPr w:rsidR="005854EE" w:rsidRPr="00E11BAD" w:rsidSect="00A524A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24B07" w14:textId="77777777" w:rsidR="008B4F32" w:rsidRDefault="008B4F32" w:rsidP="00995845">
      <w:pPr>
        <w:spacing w:after="0" w:line="240" w:lineRule="auto"/>
      </w:pPr>
      <w:r>
        <w:separator/>
      </w:r>
    </w:p>
  </w:endnote>
  <w:endnote w:type="continuationSeparator" w:id="0">
    <w:p w14:paraId="07E2E6BA" w14:textId="77777777" w:rsidR="008B4F32" w:rsidRDefault="008B4F32" w:rsidP="0099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2D7DC" w14:textId="77777777" w:rsidR="008B4F32" w:rsidRDefault="008B4F32" w:rsidP="00995845">
      <w:pPr>
        <w:spacing w:after="0" w:line="240" w:lineRule="auto"/>
      </w:pPr>
      <w:r>
        <w:separator/>
      </w:r>
    </w:p>
  </w:footnote>
  <w:footnote w:type="continuationSeparator" w:id="0">
    <w:p w14:paraId="65F7A46D" w14:textId="77777777" w:rsidR="008B4F32" w:rsidRDefault="008B4F32" w:rsidP="0099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BD1FA" w14:textId="77777777" w:rsidR="00995845" w:rsidRDefault="00995845">
    <w:pPr>
      <w:pStyle w:val="Kopfzeile"/>
    </w:pPr>
    <w:r>
      <w:t xml:space="preserve">Musterlösung </w:t>
    </w:r>
    <w:proofErr w:type="spellStart"/>
    <w:r>
      <w:t>Abiaufgaben</w:t>
    </w:r>
    <w:proofErr w:type="spellEnd"/>
    <w:r>
      <w:t xml:space="preserve"> Quanten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45"/>
    <w:rsid w:val="00011182"/>
    <w:rsid w:val="000A0F05"/>
    <w:rsid w:val="001834AB"/>
    <w:rsid w:val="0029167E"/>
    <w:rsid w:val="005854EE"/>
    <w:rsid w:val="00692F5E"/>
    <w:rsid w:val="006F6EEB"/>
    <w:rsid w:val="00722232"/>
    <w:rsid w:val="00810A1A"/>
    <w:rsid w:val="00836608"/>
    <w:rsid w:val="00867F64"/>
    <w:rsid w:val="00872066"/>
    <w:rsid w:val="00894495"/>
    <w:rsid w:val="008B4F32"/>
    <w:rsid w:val="008D493C"/>
    <w:rsid w:val="009210A5"/>
    <w:rsid w:val="00953F94"/>
    <w:rsid w:val="00995845"/>
    <w:rsid w:val="009C7CA2"/>
    <w:rsid w:val="009E2768"/>
    <w:rsid w:val="00A524A9"/>
    <w:rsid w:val="00B31443"/>
    <w:rsid w:val="00C7457F"/>
    <w:rsid w:val="00C8020B"/>
    <w:rsid w:val="00DE6AA4"/>
    <w:rsid w:val="00DF4E66"/>
    <w:rsid w:val="00E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0FA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4A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9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95845"/>
  </w:style>
  <w:style w:type="paragraph" w:styleId="Fuzeile">
    <w:name w:val="footer"/>
    <w:basedOn w:val="Standard"/>
    <w:link w:val="FuzeileZeichen"/>
    <w:uiPriority w:val="99"/>
    <w:semiHidden/>
    <w:unhideWhenUsed/>
    <w:rsid w:val="0099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9584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66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F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DF4E6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524A9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9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95845"/>
  </w:style>
  <w:style w:type="paragraph" w:styleId="Fuzeile">
    <w:name w:val="footer"/>
    <w:basedOn w:val="Standard"/>
    <w:link w:val="FuzeileZeichen"/>
    <w:uiPriority w:val="99"/>
    <w:semiHidden/>
    <w:unhideWhenUsed/>
    <w:rsid w:val="0099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99584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3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3660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F4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DF4E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T.</dc:creator>
  <cp:keywords/>
  <dc:description/>
  <cp:lastModifiedBy>Winfried Zemann</cp:lastModifiedBy>
  <cp:revision>6</cp:revision>
  <dcterms:created xsi:type="dcterms:W3CDTF">2015-03-07T08:35:00Z</dcterms:created>
  <dcterms:modified xsi:type="dcterms:W3CDTF">2015-03-07T15:51:00Z</dcterms:modified>
</cp:coreProperties>
</file>